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FA" w:rsidRDefault="0054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a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1417"/>
        <w:gridCol w:w="1134"/>
        <w:gridCol w:w="1559"/>
        <w:gridCol w:w="1134"/>
        <w:gridCol w:w="993"/>
        <w:gridCol w:w="567"/>
        <w:gridCol w:w="1275"/>
        <w:gridCol w:w="1276"/>
      </w:tblGrid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89131A">
              <w:rPr>
                <w:rFonts w:ascii="Times New Roman" w:hAnsi="Times New Roman"/>
              </w:rPr>
              <w:t>Додаток 8</w:t>
            </w:r>
          </w:p>
        </w:tc>
      </w:tr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ЗАТВЕРДЖЕНО</w:t>
            </w:r>
          </w:p>
        </w:tc>
      </w:tr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Наказ департамент охорони здоров’я</w:t>
            </w:r>
          </w:p>
        </w:tc>
      </w:tr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облдержадміністрації</w:t>
            </w:r>
          </w:p>
        </w:tc>
      </w:tr>
      <w:tr w:rsidR="00CF1E23" w:rsidTr="00056A89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Від                   №</w:t>
            </w:r>
          </w:p>
        </w:tc>
      </w:tr>
      <w:tr w:rsidR="00CF1E23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E23" w:rsidRDefault="00CF1E23">
            <w:pPr>
              <w:keepNext/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E23" w:rsidRDefault="00CF1E23">
            <w:pPr>
              <w:keepNext/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Моніторінг діяльності заклад</w:t>
            </w:r>
            <w:r w:rsidR="009A7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 охорони здоров’я за 20</w:t>
            </w:r>
            <w:r w:rsidR="006E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9A7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міста або району _____________________________________________</w:t>
            </w: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6521" w:type="dxa"/>
            <w:gridSpan w:val="6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5417FA" w:rsidRDefault="005417FA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Абс. знач.</w:t>
            </w:r>
          </w:p>
        </w:tc>
        <w:tc>
          <w:tcPr>
            <w:tcW w:w="1276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Показ-ник</w:t>
            </w:r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Штати та кадри 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FGD1001</w:t>
            </w:r>
          </w:p>
        </w:tc>
      </w:tr>
      <w:tr w:rsidR="005417FA">
        <w:trPr>
          <w:trHeight w:val="5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лікарів в звітному році (абс.) та питома вага від підлягаючих атестації ( 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атестації лікарів в звітному році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абс.)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молодших медичних спеціалістів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звітному році (абс.)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атестації молодших медичних спеціалістів в звітному році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керівників ЗОЗ в звітному році (абс.)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Підлягало атестації керівників ЗОЗ в звітному році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Амбулаторно-поліклінічна служба I 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FGD2001</w:t>
            </w:r>
          </w:p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періодичними  та профілактичними оглядами </w:t>
            </w: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(в ЗОЗ I, II, III рівня</w:t>
            </w:r>
            <w:r>
              <w:rPr>
                <w:rFonts w:ascii="Times New Roman" w:eastAsia="Times New Roman" w:hAnsi="Times New Roman" w:cs="Times New Roman"/>
              </w:rPr>
              <w:t xml:space="preserve"> - абс. та %  </w:t>
            </w:r>
            <w:r>
              <w:rPr>
                <w:rFonts w:ascii="Times New Roman" w:eastAsia="Times New Roman" w:hAnsi="Times New Roman" w:cs="Times New Roman"/>
                <w:b/>
              </w:rPr>
              <w:t>до річного плану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у т.ч. дорослих (оглянуто з п.2.1 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дітей (оглянуто з п. 2.1 та % до підлеглих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nil"/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огляду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всього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річний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план</w:t>
            </w:r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у т.ч. дорослих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дітей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0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населення періодичними  та профілактичними оглядами </w:t>
            </w:r>
            <w:r>
              <w:rPr>
                <w:rFonts w:ascii="Times New Roman" w:eastAsia="Times New Roman" w:hAnsi="Times New Roman" w:cs="Times New Roman"/>
                <w:b/>
              </w:rPr>
              <w:t>в ЗОЗ II рівня</w:t>
            </w:r>
            <w:r>
              <w:rPr>
                <w:rFonts w:ascii="Times New Roman" w:eastAsia="Times New Roman" w:hAnsi="Times New Roman" w:cs="Times New Roman"/>
              </w:rPr>
              <w:t xml:space="preserve"> всього (абс. та % </w:t>
            </w:r>
            <w:r>
              <w:rPr>
                <w:rFonts w:ascii="Times New Roman" w:eastAsia="Times New Roman" w:hAnsi="Times New Roman" w:cs="Times New Roman"/>
                <w:b/>
              </w:rPr>
              <w:t>до річного плану</w:t>
            </w:r>
            <w:r>
              <w:rPr>
                <w:rFonts w:ascii="Times New Roman" w:eastAsia="Times New Roman" w:hAnsi="Times New Roman" w:cs="Times New Roman"/>
              </w:rPr>
              <w:t>),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т.ч.: робітників промислових підприємств (абс.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робітників агропромислового комплексу (абс.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інших підприємств, установ, організацій (абс.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дітей (оглянуто з п. 2.2 та % до підлеглих)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жінок з 18 років(оглянуто та % до всіх жінок до 18 років)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огляду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 ЗОЗ II рівня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всього (річний план),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 в т.ч. підлягало огляду робітників підприємств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робітників агропромислового комплексу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інших підприємств, установ, організацій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підлягало огляду дітей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Амбулаторно-поліклінічна служба II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FGD2010</w:t>
            </w: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Виявляємість захворювань при профоглядах всього (виявлено та % від усіх оглянутих з п. 2.1.)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гіпертонічна хвороба (всі форми) 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ішемічна хвороба серця 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хронічний бронхіт,  хронічні обструктивні захворювання легень (виявлено та % від усіх оглянутих із п.2.1.)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хвороби кістково-м’язової системи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цукровий діабет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хвороби нирок (сечокам'яна хвороба , запальні захворювання)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анемії та інші захворювання крові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онкопатологія (абс. та % від всіх вперше виявлених випадків онкозахворювань за звітний період п.2.4)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туберкульоз (абс. та % від всіх вперше виявлених випадків туберкульозу за звітний період п.2.7)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Кількість хворих, що проконсультовані лікарями-спеціалістами II та III рівнів за направленням лікаря ЦПМСД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FGD2020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Питома вага «відриву» в лікуванні хворих туберкульозом  на амбулаторному етапі (абс. та % від тих, що підлягали 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Число хворих туберкульозом , що підлягали лікуванню на амбулаторному етапі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spacing w:after="0"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Охоплення туберкулінодіагностикою дитячого населення в сільській місцевості (абс. та на 1000 дітей)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Число дітей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сільській місцевості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Рівень первинної інвалідності осіб працездатного віку (абс. та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ліжок без урахування спеціалізованих ЗОЗ та інфекційних ліжок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4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Середнє число ліжок без урахування спеціалізованих ЗОЗ та інфекційних ліжок (абс.)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ліжко-днів(абс.) без урахування спеціалізованих ЗОЗ та інфекційних ліжок і робота ліжка без спеціалізованих ЗОЗ та інфекційних ліжок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Проліковано хворих в стаціонарі без урахування спеціалізованих ЗОЗ та інфекційних ліжок і середній термін перебування на ліжку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перебування до операції для планових хворих (абс. та показник— середній термін перебування до операції)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Оперовано планових хворих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Виявляємість патології при цитологічному обстеженні (абс. та % від обстежених по формі 20 табл. 2104)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Денні стаціонари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FGD2030</w:t>
            </w:r>
          </w:p>
        </w:tc>
      </w:tr>
      <w:tr w:rsidR="005417FA">
        <w:trPr>
          <w:trHeight w:val="240"/>
        </w:trPr>
        <w:tc>
          <w:tcPr>
            <w:tcW w:w="2552" w:type="dxa"/>
            <w:gridSpan w:val="3"/>
            <w:tcBorders>
              <w:bottom w:val="nil"/>
            </w:tcBorders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Терапевтичні (загальносоматичні)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Хірургічні 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Гінекологічні 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Педіатричні </w:t>
            </w:r>
          </w:p>
        </w:tc>
      </w:tr>
      <w:tr w:rsidR="005417FA">
        <w:trPr>
          <w:trHeight w:val="240"/>
        </w:trPr>
        <w:tc>
          <w:tcPr>
            <w:tcW w:w="1135" w:type="dxa"/>
            <w:gridSpan w:val="2"/>
            <w:tcBorders>
              <w:bottom w:val="nil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Кільк. ліжок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Проліков. хворих</w:t>
            </w:r>
          </w:p>
        </w:tc>
      </w:tr>
      <w:tr w:rsidR="005417FA">
        <w:trPr>
          <w:trHeight w:val="240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2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відділень хірургії одного дня (абс.)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540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них прооперовано (абс. та % до загальної кількості прооперованих  в ЗОЗ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tcBorders>
              <w:bottom w:val="single" w:sz="4" w:space="0" w:color="000000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6521" w:type="dxa"/>
            <w:gridSpan w:val="6"/>
            <w:tcBorders>
              <w:bottom w:val="single" w:sz="4" w:space="0" w:color="000000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Хірургічна активність у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відділенні загальної хірургії</w:t>
            </w:r>
            <w:r>
              <w:rPr>
                <w:rFonts w:ascii="Times New Roman" w:eastAsia="Times New Roman" w:hAnsi="Times New Roman" w:cs="Times New Roman"/>
              </w:rPr>
              <w:t xml:space="preserve"> (число про-оперованих у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відділені загальної хірургії</w:t>
            </w:r>
            <w:r>
              <w:rPr>
                <w:rFonts w:ascii="Times New Roman" w:eastAsia="Times New Roman" w:hAnsi="Times New Roman" w:cs="Times New Roman"/>
              </w:rPr>
              <w:t xml:space="preserve"> та % від пролікованих  в ньому)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Розходження клінічного та патанатомічного діагнозів (абс. та % від розтинів)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73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Фінансова діяльність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FGD5001</w:t>
            </w: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Надходження позабюджетних коштів всього (в тис. грн)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них використано на: придбання апаратури (тис.грн)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придбання медикаментів (тис.грн)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будівництво (тис.грн)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tcBorders>
              <w:bottom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bottom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ремонти (тис.грн)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інші (тис.грн)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7372" w:type="dxa"/>
            <w:gridSpan w:val="7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FGD6002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521" w:type="dxa"/>
            <w:gridSpan w:val="6"/>
            <w:tcBorders>
              <w:right w:val="single" w:sz="12" w:space="0" w:color="000000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ФАПи (абс.)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6"/>
            <w:tcBorders>
              <w:right w:val="single" w:sz="12" w:space="0" w:color="000000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від 300 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ФАПи (абс.)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 300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ФАПи (абс. 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від 300 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ФАПи (абс.)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 300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Малюкова смертність (абс.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</w:rPr>
              <w:t>исло народжених живими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(за даними дільниць)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Смертність від інсультів в працездатному віці (абс.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Смертність від інфарктів в працездатному віці (абс.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Частота черепно-мозкових, спінальних травм у новонароджених (абс. та на 1000 народжених живими)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Питома вага закладів вашої території, де впроваджені локальні протоколи (абс. та % від загальної кількостї закладів)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Загальна кількість закладів вашої території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Кількість дітей до 1 року , яким проведено первинний вакцинальний комплекс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Кількість дітей до 1 року , яким було заплановано проведення первинного вакцинального  комплексу у звітному році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 xml:space="preserve">Заступник директора департаменту- </w:t>
      </w: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>начальник управління організації</w:t>
      </w: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>та розвитку медичної допомоги населенню</w:t>
      </w: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>департаменту охорони здоров᾿я</w:t>
      </w: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 xml:space="preserve">облдержадміністрації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</w:t>
      </w:r>
      <w:bookmarkStart w:id="1" w:name="_GoBack"/>
      <w:bookmarkEnd w:id="1"/>
      <w:r w:rsidRPr="00F24C39">
        <w:rPr>
          <w:rFonts w:ascii="Times New Roman" w:eastAsia="Times New Roman" w:hAnsi="Times New Roman" w:cs="Times New Roman"/>
          <w:sz w:val="24"/>
          <w:szCs w:val="24"/>
        </w:rPr>
        <w:t>Н.Г. Філіппова</w:t>
      </w:r>
    </w:p>
    <w:p w:rsidR="005417FA" w:rsidRDefault="005417FA">
      <w:pPr>
        <w:rPr>
          <w:rFonts w:ascii="Times New Roman" w:eastAsia="Times New Roman" w:hAnsi="Times New Roman" w:cs="Times New Roman"/>
        </w:rPr>
      </w:pPr>
    </w:p>
    <w:sectPr w:rsidR="005417FA">
      <w:footerReference w:type="default" r:id="rId7"/>
      <w:pgSz w:w="11907" w:h="16840"/>
      <w:pgMar w:top="567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57" w:rsidRDefault="002C7557">
      <w:pPr>
        <w:spacing w:after="0" w:line="240" w:lineRule="auto"/>
      </w:pPr>
      <w:r>
        <w:separator/>
      </w:r>
    </w:p>
  </w:endnote>
  <w:endnote w:type="continuationSeparator" w:id="0">
    <w:p w:rsidR="002C7557" w:rsidRDefault="002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FA" w:rsidRDefault="00B216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4C39">
      <w:rPr>
        <w:noProof/>
        <w:color w:val="000000"/>
      </w:rPr>
      <w:t>3</w:t>
    </w:r>
    <w:r>
      <w:rPr>
        <w:color w:val="000000"/>
      </w:rPr>
      <w:fldChar w:fldCharType="end"/>
    </w:r>
  </w:p>
  <w:p w:rsidR="005417FA" w:rsidRDefault="005417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57" w:rsidRDefault="002C7557">
      <w:pPr>
        <w:spacing w:after="0" w:line="240" w:lineRule="auto"/>
      </w:pPr>
      <w:r>
        <w:separator/>
      </w:r>
    </w:p>
  </w:footnote>
  <w:footnote w:type="continuationSeparator" w:id="0">
    <w:p w:rsidR="002C7557" w:rsidRDefault="002C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7FA"/>
    <w:rsid w:val="002C7557"/>
    <w:rsid w:val="003A65EF"/>
    <w:rsid w:val="005417FA"/>
    <w:rsid w:val="005827C9"/>
    <w:rsid w:val="006E14D8"/>
    <w:rsid w:val="00812365"/>
    <w:rsid w:val="0089131A"/>
    <w:rsid w:val="009A72B0"/>
    <w:rsid w:val="00B21656"/>
    <w:rsid w:val="00CF1E23"/>
    <w:rsid w:val="00E34391"/>
    <w:rsid w:val="00F10031"/>
    <w:rsid w:val="00F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9BA9"/>
  <w15:docId w15:val="{0C2BE8EE-6E14-44E5-9F40-8CF23C2E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00AB4"/>
  </w:style>
  <w:style w:type="character" w:styleId="a6">
    <w:name w:val="page number"/>
    <w:basedOn w:val="a0"/>
    <w:uiPriority w:val="99"/>
    <w:rsid w:val="00600AB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HVGA357ohyjWhoucM18HGTN7Q==">AMUW2mVbB905dVfyZUWPjBw/tnFS540iVpeEWdIIo7VaG3ctc/JvYyGngeQkUjhZCT6P6Tg6UYWlF5pqPWbwOC1Bq4xDbufzRk9NfQ3w4SP+lcls9q6sWc6e+ca1IRDhz0X6vGO8F03M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Huawei</cp:lastModifiedBy>
  <cp:revision>8</cp:revision>
  <dcterms:created xsi:type="dcterms:W3CDTF">2016-11-25T13:28:00Z</dcterms:created>
  <dcterms:modified xsi:type="dcterms:W3CDTF">2020-12-15T19:54:00Z</dcterms:modified>
</cp:coreProperties>
</file>