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45" w:rsidRPr="00480D45" w:rsidRDefault="00480D45" w:rsidP="00480D45">
      <w:pPr>
        <w:spacing w:after="150" w:line="720" w:lineRule="atLeast"/>
        <w:jc w:val="center"/>
        <w:textAlignment w:val="baseline"/>
        <w:outlineLvl w:val="0"/>
        <w:rPr>
          <w:rFonts w:ascii="ProbaProSemi" w:eastAsia="Times New Roman" w:hAnsi="ProbaProSemi" w:cs="Times New Roman"/>
          <w:b/>
          <w:bCs/>
          <w:color w:val="000000"/>
          <w:kern w:val="36"/>
          <w:sz w:val="60"/>
          <w:szCs w:val="60"/>
          <w:lang w:eastAsia="ru-RU"/>
        </w:rPr>
      </w:pPr>
      <w:proofErr w:type="spellStart"/>
      <w:r w:rsidRPr="00480D45">
        <w:rPr>
          <w:rFonts w:ascii="ProbaProSemi" w:eastAsia="Times New Roman" w:hAnsi="ProbaProSemi" w:cs="Times New Roman"/>
          <w:b/>
          <w:bCs/>
          <w:color w:val="000000"/>
          <w:kern w:val="36"/>
          <w:sz w:val="60"/>
          <w:szCs w:val="60"/>
          <w:lang w:eastAsia="ru-RU"/>
        </w:rPr>
        <w:t>Перелік</w:t>
      </w:r>
      <w:proofErr w:type="spellEnd"/>
      <w:r w:rsidRPr="00480D45">
        <w:rPr>
          <w:rFonts w:ascii="ProbaProSemi" w:eastAsia="Times New Roman" w:hAnsi="ProbaProSemi" w:cs="Times New Roman"/>
          <w:b/>
          <w:bCs/>
          <w:color w:val="000000"/>
          <w:kern w:val="36"/>
          <w:sz w:val="60"/>
          <w:szCs w:val="60"/>
          <w:lang w:eastAsia="ru-RU"/>
        </w:rPr>
        <w:t xml:space="preserve"> </w:t>
      </w:r>
      <w:proofErr w:type="spellStart"/>
      <w:r w:rsidRPr="00480D45">
        <w:rPr>
          <w:rFonts w:ascii="ProbaProSemi" w:eastAsia="Times New Roman" w:hAnsi="ProbaProSemi" w:cs="Times New Roman"/>
          <w:b/>
          <w:bCs/>
          <w:color w:val="000000"/>
          <w:kern w:val="36"/>
          <w:sz w:val="60"/>
          <w:szCs w:val="60"/>
          <w:lang w:eastAsia="ru-RU"/>
        </w:rPr>
        <w:t>встановлених</w:t>
      </w:r>
      <w:proofErr w:type="spellEnd"/>
      <w:r w:rsidRPr="00480D45">
        <w:rPr>
          <w:rFonts w:ascii="ProbaProSemi" w:eastAsia="Times New Roman" w:hAnsi="ProbaProSemi" w:cs="Times New Roman"/>
          <w:b/>
          <w:bCs/>
          <w:color w:val="000000"/>
          <w:kern w:val="36"/>
          <w:sz w:val="60"/>
          <w:szCs w:val="60"/>
          <w:lang w:eastAsia="ru-RU"/>
        </w:rPr>
        <w:t xml:space="preserve"> Законом </w:t>
      </w:r>
      <w:proofErr w:type="spellStart"/>
      <w:r w:rsidRPr="00480D45">
        <w:rPr>
          <w:rFonts w:ascii="ProbaProSemi" w:eastAsia="Times New Roman" w:hAnsi="ProbaProSemi" w:cs="Times New Roman"/>
          <w:b/>
          <w:bCs/>
          <w:color w:val="000000"/>
          <w:kern w:val="36"/>
          <w:sz w:val="60"/>
          <w:szCs w:val="60"/>
          <w:lang w:eastAsia="ru-RU"/>
        </w:rPr>
        <w:t>вимог</w:t>
      </w:r>
      <w:proofErr w:type="spellEnd"/>
      <w:r w:rsidRPr="00480D45">
        <w:rPr>
          <w:rFonts w:ascii="ProbaProSemi" w:eastAsia="Times New Roman" w:hAnsi="ProbaProSemi" w:cs="Times New Roman"/>
          <w:b/>
          <w:bCs/>
          <w:color w:val="000000"/>
          <w:kern w:val="36"/>
          <w:sz w:val="60"/>
          <w:szCs w:val="60"/>
          <w:lang w:eastAsia="ru-RU"/>
        </w:rPr>
        <w:t xml:space="preserve">, </w:t>
      </w:r>
      <w:proofErr w:type="spellStart"/>
      <w:r w:rsidRPr="00480D45">
        <w:rPr>
          <w:rFonts w:ascii="ProbaProSemi" w:eastAsia="Times New Roman" w:hAnsi="ProbaProSemi" w:cs="Times New Roman"/>
          <w:b/>
          <w:bCs/>
          <w:color w:val="000000"/>
          <w:kern w:val="36"/>
          <w:sz w:val="60"/>
          <w:szCs w:val="60"/>
          <w:lang w:eastAsia="ru-RU"/>
        </w:rPr>
        <w:t>заборон</w:t>
      </w:r>
      <w:proofErr w:type="spellEnd"/>
      <w:r w:rsidRPr="00480D45">
        <w:rPr>
          <w:rFonts w:ascii="ProbaProSemi" w:eastAsia="Times New Roman" w:hAnsi="ProbaProSemi" w:cs="Times New Roman"/>
          <w:b/>
          <w:bCs/>
          <w:color w:val="000000"/>
          <w:kern w:val="36"/>
          <w:sz w:val="60"/>
          <w:szCs w:val="60"/>
          <w:lang w:eastAsia="ru-RU"/>
        </w:rPr>
        <w:t xml:space="preserve"> та </w:t>
      </w:r>
      <w:proofErr w:type="spellStart"/>
      <w:r w:rsidRPr="00480D45">
        <w:rPr>
          <w:rFonts w:ascii="ProbaProSemi" w:eastAsia="Times New Roman" w:hAnsi="ProbaProSemi" w:cs="Times New Roman"/>
          <w:b/>
          <w:bCs/>
          <w:color w:val="000000"/>
          <w:kern w:val="36"/>
          <w:sz w:val="60"/>
          <w:szCs w:val="60"/>
          <w:lang w:eastAsia="ru-RU"/>
        </w:rPr>
        <w:t>обмежень</w:t>
      </w:r>
      <w:proofErr w:type="spellEnd"/>
    </w:p>
    <w:p w:rsidR="00480D45" w:rsidRPr="00480D45" w:rsidRDefault="00480D45" w:rsidP="00480D45">
      <w:pPr>
        <w:numPr>
          <w:ilvl w:val="0"/>
          <w:numId w:val="1"/>
        </w:numPr>
        <w:spacing w:before="100" w:beforeAutospacing="1" w:after="330" w:line="360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Вимоги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щодо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прийняття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антикорупційної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програми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19).</w:t>
      </w:r>
    </w:p>
    <w:p w:rsidR="00480D45" w:rsidRPr="00480D45" w:rsidRDefault="00480D45" w:rsidP="00480D45">
      <w:pPr>
        <w:numPr>
          <w:ilvl w:val="0"/>
          <w:numId w:val="1"/>
        </w:numPr>
        <w:spacing w:beforeAutospacing="1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Обмеження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щодо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використання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службових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повноважень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чи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свого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становища (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стаття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22).</w:t>
      </w:r>
    </w:p>
    <w:p w:rsidR="00480D45" w:rsidRPr="00480D45" w:rsidRDefault="00480D45" w:rsidP="00480D45">
      <w:pPr>
        <w:numPr>
          <w:ilvl w:val="0"/>
          <w:numId w:val="1"/>
        </w:numPr>
        <w:spacing w:before="100" w:beforeAutospacing="1" w:after="330" w:line="360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Обмеження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щодо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одержання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подарунків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статті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23, 24).</w:t>
      </w:r>
    </w:p>
    <w:p w:rsidR="00480D45" w:rsidRPr="00480D45" w:rsidRDefault="00480D45" w:rsidP="00480D45">
      <w:pPr>
        <w:numPr>
          <w:ilvl w:val="0"/>
          <w:numId w:val="1"/>
        </w:numPr>
        <w:spacing w:beforeAutospacing="1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Обмеження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щодо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сумісництва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та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суміщення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з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іншими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видами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діяльності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(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стаття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25).</w:t>
      </w:r>
    </w:p>
    <w:p w:rsidR="00480D45" w:rsidRPr="00480D45" w:rsidRDefault="00480D45" w:rsidP="00480D45">
      <w:pPr>
        <w:numPr>
          <w:ilvl w:val="0"/>
          <w:numId w:val="1"/>
        </w:numPr>
        <w:spacing w:beforeAutospacing="1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Обмеження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після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припинення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діяльності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пов’язаної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з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виконанням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функцій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держави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місцевого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самоврядування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26).</w:t>
      </w:r>
    </w:p>
    <w:p w:rsidR="00480D45" w:rsidRPr="00480D45" w:rsidRDefault="00480D45" w:rsidP="00480D45">
      <w:pPr>
        <w:numPr>
          <w:ilvl w:val="0"/>
          <w:numId w:val="1"/>
        </w:numPr>
        <w:spacing w:beforeAutospacing="1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Обмеження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спільної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роботи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близьких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осіб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(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стаття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27).</w:t>
      </w:r>
    </w:p>
    <w:p w:rsidR="00480D45" w:rsidRPr="00480D45" w:rsidRDefault="00480D45" w:rsidP="00480D45">
      <w:pPr>
        <w:numPr>
          <w:ilvl w:val="0"/>
          <w:numId w:val="1"/>
        </w:numPr>
        <w:spacing w:beforeAutospacing="1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Вимоги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щодо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запобігання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та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врегулювання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конфлікту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інтересів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статті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28-36).</w:t>
      </w:r>
    </w:p>
    <w:p w:rsidR="00480D45" w:rsidRPr="00480D45" w:rsidRDefault="00480D45" w:rsidP="00480D45">
      <w:pPr>
        <w:numPr>
          <w:ilvl w:val="0"/>
          <w:numId w:val="1"/>
        </w:numPr>
        <w:spacing w:beforeAutospacing="1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Вимоги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до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поведінки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осіб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додержання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вимог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закону та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етичних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норм 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поведінки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(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статті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37, 38).</w:t>
      </w:r>
    </w:p>
    <w:p w:rsidR="00480D45" w:rsidRPr="00480D45" w:rsidRDefault="00480D45" w:rsidP="00480D45">
      <w:pPr>
        <w:numPr>
          <w:ilvl w:val="0"/>
          <w:numId w:val="1"/>
        </w:numPr>
        <w:spacing w:before="100" w:beforeAutospacing="1" w:after="330" w:line="360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Вимоги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щодо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пріоритету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інтересів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39).</w:t>
      </w:r>
    </w:p>
    <w:p w:rsidR="00480D45" w:rsidRPr="00480D45" w:rsidRDefault="00480D45" w:rsidP="00480D45">
      <w:pPr>
        <w:numPr>
          <w:ilvl w:val="0"/>
          <w:numId w:val="1"/>
        </w:numPr>
        <w:spacing w:beforeAutospacing="1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Вимоги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щодо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політичної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нейтральності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(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стаття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40).</w:t>
      </w:r>
    </w:p>
    <w:p w:rsidR="00480D45" w:rsidRPr="00480D45" w:rsidRDefault="00480D45" w:rsidP="00480D45">
      <w:pPr>
        <w:numPr>
          <w:ilvl w:val="0"/>
          <w:numId w:val="1"/>
        </w:numPr>
        <w:spacing w:before="100" w:beforeAutospacing="1" w:after="330" w:line="360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Вимоги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щодо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неупередженості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41).</w:t>
      </w:r>
    </w:p>
    <w:p w:rsidR="00480D45" w:rsidRPr="00480D45" w:rsidRDefault="00480D45" w:rsidP="00480D45">
      <w:pPr>
        <w:numPr>
          <w:ilvl w:val="0"/>
          <w:numId w:val="1"/>
        </w:numPr>
        <w:spacing w:beforeAutospacing="1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Вимоги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щодо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компетентності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ефективності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(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стаття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42).</w:t>
      </w:r>
    </w:p>
    <w:p w:rsidR="00480D45" w:rsidRPr="00480D45" w:rsidRDefault="00480D45" w:rsidP="00480D45">
      <w:pPr>
        <w:numPr>
          <w:ilvl w:val="0"/>
          <w:numId w:val="1"/>
        </w:numPr>
        <w:spacing w:before="100" w:beforeAutospacing="1" w:after="330" w:line="360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Вимоги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щодо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нерозголошення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інформації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43).</w:t>
      </w:r>
    </w:p>
    <w:p w:rsidR="00480D45" w:rsidRPr="00480D45" w:rsidRDefault="00480D45" w:rsidP="00480D45">
      <w:pPr>
        <w:numPr>
          <w:ilvl w:val="0"/>
          <w:numId w:val="1"/>
        </w:numPr>
        <w:spacing w:beforeAutospacing="1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Вимоги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щодо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утримання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від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виконання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незаконних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рішень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чи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доручень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(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стаття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44).</w:t>
      </w:r>
    </w:p>
    <w:p w:rsidR="00480D45" w:rsidRPr="00480D45" w:rsidRDefault="00480D45" w:rsidP="00480D45">
      <w:pPr>
        <w:numPr>
          <w:ilvl w:val="0"/>
          <w:numId w:val="1"/>
        </w:numPr>
        <w:spacing w:beforeAutospacing="1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Вимоги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щодо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подання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декларацій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осіб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уповноважених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виконання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функцій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держави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місцевого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самоврядування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45).</w:t>
      </w:r>
    </w:p>
    <w:p w:rsidR="00480D45" w:rsidRPr="00480D45" w:rsidRDefault="00480D45" w:rsidP="00480D45">
      <w:pPr>
        <w:numPr>
          <w:ilvl w:val="0"/>
          <w:numId w:val="1"/>
        </w:numPr>
        <w:spacing w:beforeAutospacing="1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Вимоги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щодо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додаткових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заходів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здійснення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фінансового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контролю (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стаття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52).</w:t>
      </w:r>
    </w:p>
    <w:p w:rsidR="00480D45" w:rsidRPr="00480D45" w:rsidRDefault="00480D45" w:rsidP="00480D45">
      <w:pPr>
        <w:numPr>
          <w:ilvl w:val="0"/>
          <w:numId w:val="1"/>
        </w:numPr>
        <w:spacing w:beforeAutospacing="1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Заборона на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одержання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пільг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послуг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і майна органами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державної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влади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 органами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місцевого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самоврядування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54).</w:t>
      </w:r>
    </w:p>
    <w:p w:rsidR="00480D45" w:rsidRPr="00480D45" w:rsidRDefault="00480D45" w:rsidP="00480D45">
      <w:pPr>
        <w:numPr>
          <w:ilvl w:val="0"/>
          <w:numId w:val="1"/>
        </w:numPr>
        <w:spacing w:beforeAutospacing="1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Вимоги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щодо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проведення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спеціальної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перевірки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(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стаття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56).</w:t>
      </w:r>
    </w:p>
    <w:p w:rsidR="00480D45" w:rsidRPr="00480D45" w:rsidRDefault="00480D45" w:rsidP="00480D45">
      <w:pPr>
        <w:numPr>
          <w:ilvl w:val="0"/>
          <w:numId w:val="1"/>
        </w:numPr>
        <w:spacing w:before="100" w:beforeAutospacing="1" w:after="330" w:line="360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Вимоги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щодо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прозорості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доступу до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інформації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60).</w:t>
      </w:r>
    </w:p>
    <w:p w:rsidR="00480D45" w:rsidRPr="00480D45" w:rsidRDefault="00480D45" w:rsidP="00480D45">
      <w:pPr>
        <w:numPr>
          <w:ilvl w:val="0"/>
          <w:numId w:val="1"/>
        </w:numPr>
        <w:spacing w:beforeAutospacing="1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Вимоги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щодо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запобігання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корупції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у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діяльності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юридичної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особи (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стаття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61).</w:t>
      </w:r>
    </w:p>
    <w:p w:rsidR="00480D45" w:rsidRPr="00480D45" w:rsidRDefault="00480D45" w:rsidP="00480D45">
      <w:pPr>
        <w:numPr>
          <w:ilvl w:val="0"/>
          <w:numId w:val="1"/>
        </w:numPr>
        <w:spacing w:beforeAutospacing="1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Вимоги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щодо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обов’язкового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затвердження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антикорупційної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програми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юридичної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особи (</w:t>
      </w:r>
      <w:proofErr w:type="spellStart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стаття</w:t>
      </w:r>
      <w:proofErr w:type="spellEnd"/>
      <w:r w:rsidRPr="00480D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62).</w:t>
      </w:r>
    </w:p>
    <w:p w:rsidR="005D74DA" w:rsidRDefault="005D74DA">
      <w:bookmarkStart w:id="0" w:name="_GoBack"/>
      <w:bookmarkEnd w:id="0"/>
    </w:p>
    <w:sectPr w:rsidR="005D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Sem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C7F0C"/>
    <w:multiLevelType w:val="multilevel"/>
    <w:tmpl w:val="A0C6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45"/>
    <w:rsid w:val="00480D45"/>
    <w:rsid w:val="005D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C4635-4A36-4A8F-A7CF-9AD6222C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1</cp:revision>
  <dcterms:created xsi:type="dcterms:W3CDTF">2023-08-16T09:03:00Z</dcterms:created>
  <dcterms:modified xsi:type="dcterms:W3CDTF">2023-08-16T09:04:00Z</dcterms:modified>
</cp:coreProperties>
</file>